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9C" w:rsidRPr="00DB04CE" w:rsidRDefault="00DB04CE">
      <w:pPr>
        <w:rPr>
          <w:b/>
          <w:bCs/>
        </w:rPr>
      </w:pPr>
      <w:r>
        <w:rPr>
          <w:b/>
          <w:bCs/>
        </w:rPr>
        <w:t>Stronger and more transparent</w:t>
      </w:r>
      <w:r w:rsidR="00380B3D" w:rsidRPr="00DB04CE">
        <w:rPr>
          <w:b/>
          <w:bCs/>
        </w:rPr>
        <w:t xml:space="preserve"> </w:t>
      </w:r>
      <w:r>
        <w:rPr>
          <w:b/>
          <w:bCs/>
        </w:rPr>
        <w:t xml:space="preserve">oversight needed from the </w:t>
      </w:r>
      <w:r w:rsidR="00380B3D" w:rsidRPr="00DB04CE">
        <w:rPr>
          <w:b/>
          <w:bCs/>
        </w:rPr>
        <w:t xml:space="preserve">European Commission </w:t>
      </w:r>
      <w:r>
        <w:rPr>
          <w:b/>
          <w:bCs/>
        </w:rPr>
        <w:t xml:space="preserve">on </w:t>
      </w:r>
      <w:r w:rsidR="00A96D4C">
        <w:rPr>
          <w:b/>
          <w:bCs/>
        </w:rPr>
        <w:t>compliance with</w:t>
      </w:r>
      <w:r w:rsidR="00380B3D" w:rsidRPr="00DB04CE">
        <w:rPr>
          <w:b/>
          <w:bCs/>
        </w:rPr>
        <w:t xml:space="preserve"> </w:t>
      </w:r>
      <w:r>
        <w:rPr>
          <w:b/>
          <w:bCs/>
        </w:rPr>
        <w:t>EU asylum standards</w:t>
      </w:r>
      <w:r w:rsidR="00380B3D" w:rsidRPr="00DB04CE">
        <w:rPr>
          <w:b/>
          <w:bCs/>
        </w:rPr>
        <w:t xml:space="preserve"> on the Greek islands</w:t>
      </w:r>
    </w:p>
    <w:p w:rsidR="00380B3D" w:rsidRDefault="00380B3D"/>
    <w:p w:rsidR="00FE5EEC" w:rsidRDefault="008605AC">
      <w:r>
        <w:t>Refugee Support Aegean (RSA) and HIAS Greece</w:t>
      </w:r>
      <w:r w:rsidR="00DB04CE">
        <w:t xml:space="preserve"> </w:t>
      </w:r>
      <w:r w:rsidR="00866253">
        <w:t>highlight</w:t>
      </w:r>
      <w:r w:rsidR="00DB04CE">
        <w:t xml:space="preserve"> </w:t>
      </w:r>
      <w:r w:rsidR="006A26F9">
        <w:t xml:space="preserve">a lack of clarity and transparency on the functioning of the </w:t>
      </w:r>
      <w:hyperlink r:id="rId5" w:history="1">
        <w:r w:rsidR="006A26F9" w:rsidRPr="00BF1FF6">
          <w:rPr>
            <w:rStyle w:val="Hyperlink"/>
          </w:rPr>
          <w:t>Task Force Migration Management</w:t>
        </w:r>
      </w:hyperlink>
      <w:r w:rsidR="006A26F9">
        <w:t xml:space="preserve"> set up by the European Commission</w:t>
      </w:r>
      <w:r w:rsidR="006A26F9">
        <w:t xml:space="preserve"> in September 2020, in </w:t>
      </w:r>
      <w:r w:rsidR="0046510B">
        <w:t>their contribution</w:t>
      </w:r>
      <w:r w:rsidR="006A26F9">
        <w:t xml:space="preserve"> to a </w:t>
      </w:r>
      <w:hyperlink r:id="rId6" w:history="1">
        <w:r w:rsidR="006A26F9" w:rsidRPr="00DB04CE">
          <w:rPr>
            <w:rStyle w:val="Hyperlink"/>
          </w:rPr>
          <w:t>targeted consultation</w:t>
        </w:r>
      </w:hyperlink>
      <w:r w:rsidR="006A26F9">
        <w:t xml:space="preserve"> launched by the European Ombudsman under an </w:t>
      </w:r>
      <w:hyperlink r:id="rId7" w:history="1">
        <w:r w:rsidR="006A26F9" w:rsidRPr="00DB04CE">
          <w:rPr>
            <w:rStyle w:val="Hyperlink"/>
          </w:rPr>
          <w:t>inquiry</w:t>
        </w:r>
      </w:hyperlink>
      <w:r w:rsidR="006A26F9">
        <w:t xml:space="preserve"> on how the Commission ensures human rights compliance in new EU-funded reception facilities on the Greek islands</w:t>
      </w:r>
      <w:r w:rsidR="006A26F9">
        <w:t>.</w:t>
      </w:r>
    </w:p>
    <w:p w:rsidR="003D0419" w:rsidRDefault="003D0419"/>
    <w:p w:rsidR="003D0419" w:rsidRDefault="00147761">
      <w:r>
        <w:t>The</w:t>
      </w:r>
      <w:r w:rsidR="003D0419">
        <w:t xml:space="preserve"> Task Force is presented </w:t>
      </w:r>
      <w:r w:rsidR="001675B9">
        <w:t xml:space="preserve">by the Commission </w:t>
      </w:r>
      <w:r w:rsidR="003D0419">
        <w:t>as a</w:t>
      </w:r>
      <w:r w:rsidR="00ED5F83">
        <w:t>n operational</w:t>
      </w:r>
      <w:r w:rsidR="003D0419">
        <w:t xml:space="preserve"> coordination mechanism,</w:t>
      </w:r>
      <w:r w:rsidR="00092F68">
        <w:t xml:space="preserve"> yet</w:t>
      </w:r>
      <w:r w:rsidR="003D0419">
        <w:t xml:space="preserve"> it appears to have </w:t>
      </w:r>
      <w:r w:rsidR="00906EEF">
        <w:t>a role in</w:t>
      </w:r>
      <w:r w:rsidR="003D0419">
        <w:t xml:space="preserve"> monitoring compliance with EU asylum standards. The Task Force “addresses” issues of “bad implementation” in its dialogue with </w:t>
      </w:r>
      <w:r w:rsidR="007579BF">
        <w:t>Greece</w:t>
      </w:r>
      <w:r w:rsidR="003D0419">
        <w:t xml:space="preserve">, as stated by the Commission </w:t>
      </w:r>
      <w:r w:rsidR="00047754">
        <w:t>when dismissing</w:t>
      </w:r>
      <w:r w:rsidR="007579BF">
        <w:t xml:space="preserve"> four </w:t>
      </w:r>
      <w:r w:rsidR="007579BF" w:rsidRPr="009D3D97">
        <w:t>complaints</w:t>
      </w:r>
      <w:r w:rsidR="007579BF">
        <w:t xml:space="preserve"> supported by our organisations</w:t>
      </w:r>
      <w:r w:rsidR="00693E4A">
        <w:t xml:space="preserve"> last year</w:t>
      </w:r>
      <w:r w:rsidR="007579BF">
        <w:t xml:space="preserve">. However, </w:t>
      </w:r>
      <w:bookmarkStart w:id="0" w:name="_GoBack"/>
      <w:bookmarkEnd w:id="0"/>
      <w:r w:rsidR="007579BF">
        <w:t>documentation obtained from the Task Force shows that several of the infringements raised in complaints ha</w:t>
      </w:r>
      <w:r w:rsidR="00F53555">
        <w:t>ve</w:t>
      </w:r>
      <w:r w:rsidR="007579BF">
        <w:t xml:space="preserve"> not been covered in discussions with the Greek authorities.</w:t>
      </w:r>
    </w:p>
    <w:p w:rsidR="00DB04CE" w:rsidRDefault="00DB04CE"/>
    <w:p w:rsidR="007579BF" w:rsidRDefault="0093658D">
      <w:r>
        <w:t>C</w:t>
      </w:r>
      <w:r w:rsidR="00EE2825">
        <w:t xml:space="preserve">oncerns </w:t>
      </w:r>
      <w:r w:rsidR="00F01456">
        <w:t xml:space="preserve">also </w:t>
      </w:r>
      <w:r w:rsidR="00362298">
        <w:t xml:space="preserve">surround </w:t>
      </w:r>
      <w:r w:rsidR="00623C79">
        <w:t xml:space="preserve">the monitoring of implementation of the </w:t>
      </w:r>
      <w:hyperlink r:id="rId8" w:history="1">
        <w:r w:rsidR="007E3121" w:rsidRPr="00421928">
          <w:rPr>
            <w:rStyle w:val="Hyperlink"/>
          </w:rPr>
          <w:t>Memorandum of Understanding</w:t>
        </w:r>
      </w:hyperlink>
      <w:r w:rsidR="007E3121">
        <w:t xml:space="preserve"> </w:t>
      </w:r>
      <w:r w:rsidR="004B7C9C">
        <w:t xml:space="preserve">signed </w:t>
      </w:r>
      <w:r w:rsidR="00F9289E">
        <w:t xml:space="preserve">by the EU and Greece </w:t>
      </w:r>
      <w:r w:rsidR="004B7C9C">
        <w:t xml:space="preserve">in December 2020 </w:t>
      </w:r>
      <w:r w:rsidR="006A26F9">
        <w:t>as part of a plan for a new Multi-Purpose Reception and Identification Centre (MPRIC) on the island of Lesvos</w:t>
      </w:r>
      <w:r w:rsidR="00A64868">
        <w:t xml:space="preserve">, since </w:t>
      </w:r>
      <w:r w:rsidR="006846FB">
        <w:t xml:space="preserve">many of the </w:t>
      </w:r>
      <w:r w:rsidR="00CE7B51">
        <w:t xml:space="preserve">targets set </w:t>
      </w:r>
      <w:r w:rsidR="00CE422E">
        <w:t>therein</w:t>
      </w:r>
      <w:r w:rsidR="00CE7B51">
        <w:t xml:space="preserve"> </w:t>
      </w:r>
      <w:r w:rsidR="008B694E">
        <w:t>have not been met</w:t>
      </w:r>
      <w:r w:rsidR="00CE422E">
        <w:t xml:space="preserve"> two years </w:t>
      </w:r>
      <w:r w:rsidR="00DD0EDE">
        <w:t>later</w:t>
      </w:r>
      <w:r w:rsidR="00CE422E">
        <w:t>.</w:t>
      </w:r>
      <w:r w:rsidR="00421928">
        <w:t xml:space="preserve"> </w:t>
      </w:r>
      <w:r w:rsidR="00F5630D">
        <w:t>Task Force m</w:t>
      </w:r>
      <w:r w:rsidR="00421928">
        <w:t xml:space="preserve">eetings </w:t>
      </w:r>
      <w:r w:rsidR="00BF3583">
        <w:t xml:space="preserve">with authorities </w:t>
      </w:r>
      <w:r w:rsidR="00421928">
        <w:t xml:space="preserve">under a dedicated Steering Committee have stopped </w:t>
      </w:r>
      <w:r w:rsidR="000E139B">
        <w:t>since</w:t>
      </w:r>
      <w:r w:rsidR="00421928">
        <w:t xml:space="preserve"> April 2022, </w:t>
      </w:r>
      <w:r w:rsidR="00154A99">
        <w:t xml:space="preserve">while </w:t>
      </w:r>
      <w:r w:rsidR="00BE6761">
        <w:t xml:space="preserve">no records </w:t>
      </w:r>
      <w:r w:rsidR="00D6269B">
        <w:t>seem to be</w:t>
      </w:r>
      <w:r w:rsidR="00BE6761">
        <w:t xml:space="preserve"> kept </w:t>
      </w:r>
      <w:r w:rsidR="00412A41">
        <w:t>of meetings with civil society organisations.</w:t>
      </w:r>
    </w:p>
    <w:p w:rsidR="00DB04CE" w:rsidRDefault="00DB04CE"/>
    <w:p w:rsidR="007302C1" w:rsidRDefault="00D72671">
      <w:r>
        <w:t>Our</w:t>
      </w:r>
      <w:r w:rsidR="007302C1">
        <w:t xml:space="preserve"> </w:t>
      </w:r>
      <w:r>
        <w:t>contribution</w:t>
      </w:r>
      <w:r w:rsidR="001A30D1">
        <w:t xml:space="preserve"> also</w:t>
      </w:r>
      <w:r w:rsidR="007302C1">
        <w:t xml:space="preserve"> lays out the multi-faceted impact of </w:t>
      </w:r>
      <w:r w:rsidR="00DB04CE">
        <w:t xml:space="preserve">MPRIC </w:t>
      </w:r>
      <w:r w:rsidR="007302C1">
        <w:t>on the human rights of people seeking protection through an analysis of breaches of:</w:t>
      </w:r>
    </w:p>
    <w:p w:rsidR="00380B3D" w:rsidRDefault="007302C1" w:rsidP="007302C1">
      <w:pPr>
        <w:pStyle w:val="ListParagraph"/>
        <w:numPr>
          <w:ilvl w:val="0"/>
          <w:numId w:val="1"/>
        </w:numPr>
      </w:pPr>
      <w:r>
        <w:t xml:space="preserve">the </w:t>
      </w:r>
      <w:r w:rsidRPr="00665D4A">
        <w:rPr>
          <w:b/>
          <w:bCs/>
        </w:rPr>
        <w:t>right to asylum</w:t>
      </w:r>
      <w:r>
        <w:t xml:space="preserve"> on account of arbitrary dismissal of applications based on the “safe third country” concept and of barriers </w:t>
      </w:r>
      <w:r w:rsidR="004C6E1D">
        <w:t>on</w:t>
      </w:r>
      <w:r>
        <w:t xml:space="preserve"> subsequent </w:t>
      </w:r>
      <w:r w:rsidR="00746786">
        <w:t>asylum claims</w:t>
      </w:r>
      <w:r>
        <w:t xml:space="preserve"> </w:t>
      </w:r>
    </w:p>
    <w:p w:rsidR="007302C1" w:rsidRDefault="007302C1" w:rsidP="007302C1">
      <w:pPr>
        <w:pStyle w:val="ListParagraph"/>
        <w:numPr>
          <w:ilvl w:val="0"/>
          <w:numId w:val="1"/>
        </w:numPr>
      </w:pPr>
      <w:r>
        <w:t xml:space="preserve">the </w:t>
      </w:r>
      <w:r w:rsidRPr="00665D4A">
        <w:rPr>
          <w:b/>
          <w:bCs/>
        </w:rPr>
        <w:t>right to dignity</w:t>
      </w:r>
      <w:r>
        <w:t xml:space="preserve"> stemming from extreme material deprivation and legal limbo facing asylum seekers subject to the “safe third country” concept</w:t>
      </w:r>
    </w:p>
    <w:p w:rsidR="007302C1" w:rsidRDefault="007302C1" w:rsidP="007302C1">
      <w:pPr>
        <w:pStyle w:val="ListParagraph"/>
        <w:numPr>
          <w:ilvl w:val="0"/>
          <w:numId w:val="1"/>
        </w:numPr>
      </w:pPr>
      <w:r>
        <w:t xml:space="preserve">the </w:t>
      </w:r>
      <w:r w:rsidRPr="00665D4A">
        <w:rPr>
          <w:b/>
          <w:bCs/>
        </w:rPr>
        <w:t>right to liberty</w:t>
      </w:r>
      <w:r>
        <w:t xml:space="preserve"> through various forms of arbitrary detention, including the use of pre-removal detention without removal prospects and the prohibition on exiting MPRIC during reception and identification procedures</w:t>
      </w:r>
    </w:p>
    <w:p w:rsidR="007302C1" w:rsidRDefault="007302C1" w:rsidP="007302C1">
      <w:pPr>
        <w:pStyle w:val="ListParagraph"/>
        <w:numPr>
          <w:ilvl w:val="0"/>
          <w:numId w:val="1"/>
        </w:numPr>
      </w:pPr>
      <w:r>
        <w:t xml:space="preserve">the </w:t>
      </w:r>
      <w:r w:rsidRPr="00665D4A">
        <w:rPr>
          <w:b/>
          <w:bCs/>
        </w:rPr>
        <w:t>right to privacy</w:t>
      </w:r>
      <w:r>
        <w:t xml:space="preserve"> </w:t>
      </w:r>
      <w:r w:rsidRPr="00E408F5">
        <w:rPr>
          <w:b/>
          <w:bCs/>
        </w:rPr>
        <w:t>and data protection</w:t>
      </w:r>
      <w:r>
        <w:t xml:space="preserve"> due to the roll-out of surveillance systems in camps without adequate safeguards</w:t>
      </w:r>
    </w:p>
    <w:p w:rsidR="00665D4A" w:rsidRDefault="00665D4A" w:rsidP="007302C1">
      <w:pPr>
        <w:pStyle w:val="ListParagraph"/>
        <w:numPr>
          <w:ilvl w:val="0"/>
          <w:numId w:val="1"/>
        </w:numPr>
      </w:pPr>
      <w:r>
        <w:t xml:space="preserve">the </w:t>
      </w:r>
      <w:r w:rsidRPr="00C04902">
        <w:rPr>
          <w:b/>
          <w:bCs/>
        </w:rPr>
        <w:t>right to legal assistance</w:t>
      </w:r>
      <w:r>
        <w:t xml:space="preserve"> </w:t>
      </w:r>
      <w:r w:rsidR="00CB288C">
        <w:t>owed to</w:t>
      </w:r>
      <w:r w:rsidR="00C04902">
        <w:t xml:space="preserve"> impermissible authorisation requirements </w:t>
      </w:r>
      <w:r w:rsidR="005F6AEC">
        <w:t>for</w:t>
      </w:r>
      <w:r w:rsidR="00C04902">
        <w:t xml:space="preserve"> lawyers’ access to the MPRIC</w:t>
      </w:r>
      <w:r w:rsidR="0005412C">
        <w:t xml:space="preserve">, coupled with </w:t>
      </w:r>
      <w:r w:rsidR="001A6A06">
        <w:t xml:space="preserve">unlawful use of truncated border procedures </w:t>
      </w:r>
      <w:r w:rsidR="00952A52">
        <w:t>under</w:t>
      </w:r>
      <w:r w:rsidR="003A0637">
        <w:t xml:space="preserve"> extremely short timeframes</w:t>
      </w:r>
    </w:p>
    <w:p w:rsidR="007302C1" w:rsidRDefault="007302C1" w:rsidP="007302C1"/>
    <w:p w:rsidR="007302C1" w:rsidRPr="00665D4A" w:rsidRDefault="007302C1" w:rsidP="007302C1">
      <w:pPr>
        <w:rPr>
          <w:b/>
          <w:bCs/>
        </w:rPr>
      </w:pPr>
      <w:r w:rsidRPr="00665D4A">
        <w:rPr>
          <w:b/>
          <w:bCs/>
        </w:rPr>
        <w:t>Download the Joint Submission</w:t>
      </w:r>
    </w:p>
    <w:sectPr w:rsidR="007302C1" w:rsidRPr="00665D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A5A"/>
    <w:multiLevelType w:val="hybridMultilevel"/>
    <w:tmpl w:val="FCD4FB3C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3D"/>
    <w:rsid w:val="00047754"/>
    <w:rsid w:val="0005412C"/>
    <w:rsid w:val="000823A8"/>
    <w:rsid w:val="00091409"/>
    <w:rsid w:val="00092F68"/>
    <w:rsid w:val="000E139B"/>
    <w:rsid w:val="0012545F"/>
    <w:rsid w:val="00147761"/>
    <w:rsid w:val="00151D5A"/>
    <w:rsid w:val="00154A99"/>
    <w:rsid w:val="001675B9"/>
    <w:rsid w:val="001A30D1"/>
    <w:rsid w:val="001A6A06"/>
    <w:rsid w:val="001B321E"/>
    <w:rsid w:val="001D5D1A"/>
    <w:rsid w:val="002D0791"/>
    <w:rsid w:val="002D7541"/>
    <w:rsid w:val="00311490"/>
    <w:rsid w:val="00324F2B"/>
    <w:rsid w:val="00336DF4"/>
    <w:rsid w:val="00362298"/>
    <w:rsid w:val="00380B3D"/>
    <w:rsid w:val="003A0637"/>
    <w:rsid w:val="003B247F"/>
    <w:rsid w:val="003D0419"/>
    <w:rsid w:val="00405663"/>
    <w:rsid w:val="00412A41"/>
    <w:rsid w:val="00421928"/>
    <w:rsid w:val="0046510B"/>
    <w:rsid w:val="004749E9"/>
    <w:rsid w:val="00474F37"/>
    <w:rsid w:val="004A2258"/>
    <w:rsid w:val="004B7C9C"/>
    <w:rsid w:val="004C6E1D"/>
    <w:rsid w:val="004E6622"/>
    <w:rsid w:val="004E6B7D"/>
    <w:rsid w:val="00524C3F"/>
    <w:rsid w:val="005707F6"/>
    <w:rsid w:val="005F6AEC"/>
    <w:rsid w:val="00623C79"/>
    <w:rsid w:val="00624198"/>
    <w:rsid w:val="00665D4A"/>
    <w:rsid w:val="006846FB"/>
    <w:rsid w:val="00693E4A"/>
    <w:rsid w:val="006A26F9"/>
    <w:rsid w:val="006D5573"/>
    <w:rsid w:val="007302C1"/>
    <w:rsid w:val="0073245D"/>
    <w:rsid w:val="00737F99"/>
    <w:rsid w:val="00746786"/>
    <w:rsid w:val="007579BF"/>
    <w:rsid w:val="007D1B68"/>
    <w:rsid w:val="007E3121"/>
    <w:rsid w:val="008605AC"/>
    <w:rsid w:val="00866253"/>
    <w:rsid w:val="00866F6D"/>
    <w:rsid w:val="008B694E"/>
    <w:rsid w:val="008D46C9"/>
    <w:rsid w:val="008F1B58"/>
    <w:rsid w:val="00906EEF"/>
    <w:rsid w:val="00927246"/>
    <w:rsid w:val="00927FFA"/>
    <w:rsid w:val="0093658D"/>
    <w:rsid w:val="00952A52"/>
    <w:rsid w:val="00981214"/>
    <w:rsid w:val="00993E90"/>
    <w:rsid w:val="009C2916"/>
    <w:rsid w:val="009D3D97"/>
    <w:rsid w:val="00A2316B"/>
    <w:rsid w:val="00A24565"/>
    <w:rsid w:val="00A64868"/>
    <w:rsid w:val="00A96D4C"/>
    <w:rsid w:val="00BE6761"/>
    <w:rsid w:val="00BF1FF6"/>
    <w:rsid w:val="00BF3583"/>
    <w:rsid w:val="00C04902"/>
    <w:rsid w:val="00CB288C"/>
    <w:rsid w:val="00CE422E"/>
    <w:rsid w:val="00CE7B51"/>
    <w:rsid w:val="00D6269B"/>
    <w:rsid w:val="00D72671"/>
    <w:rsid w:val="00D96D61"/>
    <w:rsid w:val="00DB04CE"/>
    <w:rsid w:val="00DB0649"/>
    <w:rsid w:val="00DD0EDE"/>
    <w:rsid w:val="00DE3F9C"/>
    <w:rsid w:val="00E408F5"/>
    <w:rsid w:val="00EA6D4E"/>
    <w:rsid w:val="00EC465B"/>
    <w:rsid w:val="00ED15B3"/>
    <w:rsid w:val="00ED5F83"/>
    <w:rsid w:val="00EE2825"/>
    <w:rsid w:val="00EF25D8"/>
    <w:rsid w:val="00F01456"/>
    <w:rsid w:val="00F0219C"/>
    <w:rsid w:val="00F0573F"/>
    <w:rsid w:val="00F23AD2"/>
    <w:rsid w:val="00F42854"/>
    <w:rsid w:val="00F53555"/>
    <w:rsid w:val="00F5630D"/>
    <w:rsid w:val="00F77D32"/>
    <w:rsid w:val="00F9289E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A0DF"/>
  <w15:chartTrackingRefBased/>
  <w15:docId w15:val="{5F600F1C-8C72-432D-8D3C-59133ADC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resscorner/detail/en/ip_20_22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mbudsman.europa.eu/en/opening-summary/en/158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budsman.europa.eu/en/doc/correspondence/en/164161" TargetMode="External"/><Relationship Id="rId5" Type="http://schemas.openxmlformats.org/officeDocument/2006/relationships/hyperlink" Target="https://home-affairs.ec.europa.eu/policies/migration-and-asylum/migration-management/task-force-migration-management_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SA">
      <a:dk1>
        <a:sysClr val="windowText" lastClr="000000"/>
      </a:dk1>
      <a:lt1>
        <a:sysClr val="window" lastClr="FFFFFF"/>
      </a:lt1>
      <a:dk2>
        <a:srgbClr val="31849B"/>
      </a:dk2>
      <a:lt2>
        <a:srgbClr val="00666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SA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Minos</dc:creator>
  <cp:keywords/>
  <dc:description/>
  <cp:lastModifiedBy>Minos</cp:lastModifiedBy>
  <cp:revision>98</cp:revision>
  <dcterms:created xsi:type="dcterms:W3CDTF">2023-01-29T10:14:00Z</dcterms:created>
  <dcterms:modified xsi:type="dcterms:W3CDTF">2023-01-29T11:27:00Z</dcterms:modified>
</cp:coreProperties>
</file>